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75CE" w14:textId="54DD88BF" w:rsidR="00931BAA" w:rsidRPr="00AA6F71" w:rsidRDefault="005669BF" w:rsidP="00AA6F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6F71">
        <w:rPr>
          <w:rFonts w:ascii="Arial" w:hAnsi="Arial" w:cs="Arial"/>
          <w:bCs/>
          <w:sz w:val="22"/>
          <w:szCs w:val="22"/>
        </w:rPr>
        <w:t xml:space="preserve">The </w:t>
      </w:r>
      <w:r w:rsidR="00FA7814" w:rsidRPr="00AA6F71">
        <w:rPr>
          <w:rFonts w:ascii="Arial" w:hAnsi="Arial" w:cs="Arial"/>
          <w:bCs/>
          <w:sz w:val="22"/>
          <w:szCs w:val="22"/>
        </w:rPr>
        <w:t>Queensland Home Warranty Scheme (the Scheme) is a not-for-profit statutory compensation scheme that provides protection to consumers where a building contractor fails to complete residential construction work or fails to rectify defects in that work.</w:t>
      </w:r>
    </w:p>
    <w:p w14:paraId="17EF7366" w14:textId="473E89A5" w:rsidR="00D04D4F" w:rsidRPr="00AA6F71" w:rsidRDefault="00D04D4F" w:rsidP="00AA6F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6F71">
        <w:rPr>
          <w:rFonts w:ascii="Arial" w:hAnsi="Arial" w:cs="Arial"/>
          <w:bCs/>
          <w:sz w:val="22"/>
          <w:szCs w:val="22"/>
        </w:rPr>
        <w:t xml:space="preserve">The Queensland </w:t>
      </w:r>
      <w:r w:rsidR="008664F7" w:rsidRPr="00AA6F71">
        <w:rPr>
          <w:rFonts w:ascii="Arial" w:hAnsi="Arial" w:cs="Arial"/>
          <w:bCs/>
          <w:sz w:val="22"/>
          <w:szCs w:val="22"/>
        </w:rPr>
        <w:t xml:space="preserve">Government is </w:t>
      </w:r>
      <w:r w:rsidRPr="00AA6F71">
        <w:rPr>
          <w:rFonts w:ascii="Arial" w:hAnsi="Arial" w:cs="Arial"/>
          <w:bCs/>
          <w:sz w:val="22"/>
          <w:szCs w:val="22"/>
        </w:rPr>
        <w:t>commit</w:t>
      </w:r>
      <w:r w:rsidR="008664F7" w:rsidRPr="00AA6F71">
        <w:rPr>
          <w:rFonts w:ascii="Arial" w:hAnsi="Arial" w:cs="Arial"/>
          <w:bCs/>
          <w:sz w:val="22"/>
          <w:szCs w:val="22"/>
        </w:rPr>
        <w:t>ted</w:t>
      </w:r>
      <w:r w:rsidRPr="00AA6F71">
        <w:rPr>
          <w:rFonts w:ascii="Arial" w:hAnsi="Arial" w:cs="Arial"/>
          <w:bCs/>
          <w:sz w:val="22"/>
          <w:szCs w:val="22"/>
        </w:rPr>
        <w:t xml:space="preserve"> to work</w:t>
      </w:r>
      <w:r w:rsidR="00BE17A0" w:rsidRPr="00AA6F71">
        <w:rPr>
          <w:rFonts w:ascii="Arial" w:hAnsi="Arial" w:cs="Arial"/>
          <w:bCs/>
          <w:sz w:val="22"/>
          <w:szCs w:val="22"/>
        </w:rPr>
        <w:t>ing</w:t>
      </w:r>
      <w:r w:rsidRPr="00AA6F71">
        <w:rPr>
          <w:rFonts w:ascii="Arial" w:hAnsi="Arial" w:cs="Arial"/>
          <w:bCs/>
          <w:sz w:val="22"/>
          <w:szCs w:val="22"/>
        </w:rPr>
        <w:t xml:space="preserve"> with </w:t>
      </w:r>
      <w:r w:rsidR="00CC4749" w:rsidRPr="00AA6F71">
        <w:rPr>
          <w:rFonts w:ascii="Arial" w:hAnsi="Arial" w:cs="Arial"/>
          <w:bCs/>
          <w:sz w:val="22"/>
          <w:szCs w:val="22"/>
        </w:rPr>
        <w:t>stakeholders</w:t>
      </w:r>
      <w:r w:rsidRPr="00AA6F71">
        <w:rPr>
          <w:rFonts w:ascii="Arial" w:hAnsi="Arial" w:cs="Arial"/>
          <w:bCs/>
          <w:sz w:val="22"/>
          <w:szCs w:val="22"/>
        </w:rPr>
        <w:t xml:space="preserve"> to develop reform options to strengthen the Scheme. </w:t>
      </w:r>
    </w:p>
    <w:p w14:paraId="5E8706B2" w14:textId="660A79CC" w:rsidR="00FA7814" w:rsidRPr="00AA6F71" w:rsidRDefault="00DF038C" w:rsidP="00AA6F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6F71">
        <w:rPr>
          <w:rFonts w:ascii="Arial" w:hAnsi="Arial" w:cs="Arial"/>
          <w:bCs/>
          <w:sz w:val="22"/>
          <w:szCs w:val="22"/>
        </w:rPr>
        <w:t>In</w:t>
      </w:r>
      <w:r w:rsidR="00FA7814" w:rsidRPr="00AA6F71">
        <w:rPr>
          <w:rFonts w:ascii="Arial" w:hAnsi="Arial" w:cs="Arial"/>
          <w:bCs/>
          <w:sz w:val="22"/>
          <w:szCs w:val="22"/>
        </w:rPr>
        <w:t xml:space="preserve"> July 2021, a subcommittee of the Ministerial Construction Council, the Queensland Government’s peak building and construction industry advisory body, was established to </w:t>
      </w:r>
      <w:r w:rsidR="00D15715" w:rsidRPr="00AA6F71">
        <w:rPr>
          <w:rFonts w:ascii="Arial" w:hAnsi="Arial" w:cs="Arial"/>
          <w:bCs/>
          <w:sz w:val="22"/>
          <w:szCs w:val="22"/>
        </w:rPr>
        <w:t xml:space="preserve">support </w:t>
      </w:r>
      <w:r w:rsidR="00FA7814" w:rsidRPr="00AA6F71">
        <w:rPr>
          <w:rFonts w:ascii="Arial" w:hAnsi="Arial" w:cs="Arial"/>
          <w:bCs/>
          <w:sz w:val="22"/>
          <w:szCs w:val="22"/>
        </w:rPr>
        <w:t>the next phase of the Scheme review</w:t>
      </w:r>
      <w:r w:rsidR="00D15715" w:rsidRPr="00AA6F71">
        <w:rPr>
          <w:rFonts w:ascii="Arial" w:hAnsi="Arial" w:cs="Arial"/>
          <w:bCs/>
          <w:sz w:val="22"/>
          <w:szCs w:val="22"/>
        </w:rPr>
        <w:t xml:space="preserve">. The </w:t>
      </w:r>
      <w:r w:rsidR="009D7663" w:rsidRPr="00AA6F71">
        <w:rPr>
          <w:rFonts w:ascii="Arial" w:hAnsi="Arial" w:cs="Arial"/>
          <w:bCs/>
          <w:sz w:val="22"/>
          <w:szCs w:val="22"/>
        </w:rPr>
        <w:t xml:space="preserve">subcommittee is chaired by the </w:t>
      </w:r>
      <w:r w:rsidR="00D15715" w:rsidRPr="00AA6F71">
        <w:rPr>
          <w:rFonts w:ascii="Arial" w:hAnsi="Arial" w:cs="Arial"/>
          <w:bCs/>
          <w:sz w:val="22"/>
          <w:szCs w:val="22"/>
        </w:rPr>
        <w:t>Department of Energy and Public Works.</w:t>
      </w:r>
      <w:r w:rsidR="0044105E" w:rsidRPr="00AA6F71">
        <w:rPr>
          <w:rFonts w:ascii="Arial" w:hAnsi="Arial" w:cs="Arial"/>
          <w:bCs/>
          <w:sz w:val="22"/>
          <w:szCs w:val="22"/>
        </w:rPr>
        <w:t xml:space="preserve"> </w:t>
      </w:r>
    </w:p>
    <w:p w14:paraId="5AB466A8" w14:textId="77777777" w:rsidR="00157D9C" w:rsidRPr="00AA6F71" w:rsidRDefault="00157D9C" w:rsidP="00AA6F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6F71">
        <w:rPr>
          <w:rFonts w:ascii="Arial" w:hAnsi="Arial" w:cs="Arial"/>
          <w:bCs/>
          <w:sz w:val="22"/>
          <w:szCs w:val="22"/>
        </w:rPr>
        <w:t xml:space="preserve">A discussion paper </w:t>
      </w:r>
      <w:r w:rsidRPr="00AA6F71">
        <w:rPr>
          <w:rFonts w:ascii="Arial" w:hAnsi="Arial" w:cs="Arial"/>
          <w:bCs/>
          <w:i/>
          <w:iCs/>
          <w:sz w:val="22"/>
          <w:szCs w:val="22"/>
        </w:rPr>
        <w:t xml:space="preserve">Queensland Home Warranty Scheme Review </w:t>
      </w:r>
      <w:r w:rsidRPr="00AA6F71">
        <w:rPr>
          <w:rFonts w:ascii="Arial" w:hAnsi="Arial" w:cs="Arial"/>
          <w:bCs/>
          <w:sz w:val="22"/>
          <w:szCs w:val="22"/>
        </w:rPr>
        <w:t>has been developed to guide the review with six overarching themes:</w:t>
      </w:r>
    </w:p>
    <w:p w14:paraId="55D311DF" w14:textId="77777777" w:rsidR="00157D9C" w:rsidRPr="00AA6F71" w:rsidRDefault="00157D9C" w:rsidP="00966F4D">
      <w:pPr>
        <w:pStyle w:val="ListParagraph"/>
        <w:keepLines/>
        <w:numPr>
          <w:ilvl w:val="0"/>
          <w:numId w:val="4"/>
        </w:numPr>
        <w:shd w:val="clear" w:color="auto" w:fill="FFFFFF" w:themeFill="background1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6F71">
        <w:rPr>
          <w:rFonts w:ascii="Arial" w:hAnsi="Arial" w:cs="Arial"/>
          <w:sz w:val="22"/>
          <w:szCs w:val="22"/>
        </w:rPr>
        <w:t>Comprehensive, contemporary coverage</w:t>
      </w:r>
    </w:p>
    <w:p w14:paraId="1D6185DC" w14:textId="77777777" w:rsidR="00157D9C" w:rsidRPr="00AA6F71" w:rsidRDefault="00157D9C" w:rsidP="00966F4D">
      <w:pPr>
        <w:pStyle w:val="ListParagraph"/>
        <w:keepLines/>
        <w:numPr>
          <w:ilvl w:val="0"/>
          <w:numId w:val="4"/>
        </w:numPr>
        <w:shd w:val="clear" w:color="auto" w:fill="FFFFFF" w:themeFill="background1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6F71">
        <w:rPr>
          <w:rFonts w:ascii="Arial" w:hAnsi="Arial" w:cs="Arial"/>
          <w:sz w:val="22"/>
          <w:szCs w:val="22"/>
        </w:rPr>
        <w:t>Affordable risk-based premiums</w:t>
      </w:r>
    </w:p>
    <w:p w14:paraId="41590756" w14:textId="77777777" w:rsidR="00157D9C" w:rsidRPr="00AA6F71" w:rsidRDefault="00157D9C" w:rsidP="00966F4D">
      <w:pPr>
        <w:pStyle w:val="ListParagraph"/>
        <w:keepLines/>
        <w:numPr>
          <w:ilvl w:val="0"/>
          <w:numId w:val="4"/>
        </w:numPr>
        <w:shd w:val="clear" w:color="auto" w:fill="FFFFFF" w:themeFill="background1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6F71">
        <w:rPr>
          <w:rFonts w:ascii="Arial" w:hAnsi="Arial" w:cs="Arial"/>
          <w:sz w:val="22"/>
          <w:szCs w:val="22"/>
        </w:rPr>
        <w:t>Adequate and flexible compensation limits</w:t>
      </w:r>
    </w:p>
    <w:p w14:paraId="0F7B53D9" w14:textId="77777777" w:rsidR="00157D9C" w:rsidRPr="00AA6F71" w:rsidRDefault="00157D9C" w:rsidP="00966F4D">
      <w:pPr>
        <w:pStyle w:val="ListParagraph"/>
        <w:keepLines/>
        <w:numPr>
          <w:ilvl w:val="0"/>
          <w:numId w:val="4"/>
        </w:numPr>
        <w:shd w:val="clear" w:color="auto" w:fill="FFFFFF" w:themeFill="background1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6F71">
        <w:rPr>
          <w:rFonts w:ascii="Arial" w:hAnsi="Arial" w:cs="Arial"/>
          <w:sz w:val="22"/>
          <w:szCs w:val="22"/>
        </w:rPr>
        <w:t>Effective and efficient processes and time limits</w:t>
      </w:r>
    </w:p>
    <w:p w14:paraId="094C6B00" w14:textId="77777777" w:rsidR="00157D9C" w:rsidRPr="00AA6F71" w:rsidRDefault="00157D9C" w:rsidP="00966F4D">
      <w:pPr>
        <w:pStyle w:val="ListParagraph"/>
        <w:keepLines/>
        <w:numPr>
          <w:ilvl w:val="0"/>
          <w:numId w:val="4"/>
        </w:numPr>
        <w:shd w:val="clear" w:color="auto" w:fill="FFFFFF" w:themeFill="background1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6F71">
        <w:rPr>
          <w:rFonts w:ascii="Arial" w:hAnsi="Arial" w:cs="Arial"/>
          <w:sz w:val="22"/>
          <w:szCs w:val="22"/>
        </w:rPr>
        <w:t>Empowered consumers</w:t>
      </w:r>
    </w:p>
    <w:p w14:paraId="53B19732" w14:textId="77777777" w:rsidR="00157D9C" w:rsidRPr="00AA6F71" w:rsidRDefault="00157D9C" w:rsidP="00966F4D">
      <w:pPr>
        <w:pStyle w:val="ListParagraph"/>
        <w:keepLines/>
        <w:numPr>
          <w:ilvl w:val="0"/>
          <w:numId w:val="4"/>
        </w:numPr>
        <w:shd w:val="clear" w:color="auto" w:fill="FFFFFF" w:themeFill="background1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6F71">
        <w:rPr>
          <w:rFonts w:ascii="Arial" w:hAnsi="Arial" w:cs="Arial"/>
          <w:sz w:val="22"/>
          <w:szCs w:val="22"/>
        </w:rPr>
        <w:t>A modern and responsive Scheme.</w:t>
      </w:r>
    </w:p>
    <w:p w14:paraId="4D17E97F" w14:textId="5DF59035" w:rsidR="001524EC" w:rsidRPr="00AA6F71" w:rsidRDefault="005702D1" w:rsidP="00AA6F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6F71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AA6F71">
        <w:rPr>
          <w:rFonts w:ascii="Arial" w:hAnsi="Arial" w:cs="Arial"/>
          <w:bCs/>
          <w:sz w:val="22"/>
          <w:szCs w:val="22"/>
        </w:rPr>
        <w:t xml:space="preserve"> </w:t>
      </w:r>
      <w:r w:rsidR="002F1EB1" w:rsidRPr="00AA6F71">
        <w:rPr>
          <w:rFonts w:ascii="Arial" w:hAnsi="Arial" w:cs="Arial"/>
          <w:bCs/>
          <w:sz w:val="22"/>
          <w:szCs w:val="22"/>
        </w:rPr>
        <w:t xml:space="preserve">the </w:t>
      </w:r>
      <w:r w:rsidR="004E59E5" w:rsidRPr="00AA6F71">
        <w:rPr>
          <w:rFonts w:ascii="Arial" w:hAnsi="Arial" w:cs="Arial"/>
          <w:bCs/>
          <w:sz w:val="22"/>
          <w:szCs w:val="22"/>
        </w:rPr>
        <w:t>release of a discussion paper</w:t>
      </w:r>
      <w:r w:rsidR="0044105E" w:rsidRPr="00AA6F71">
        <w:rPr>
          <w:rFonts w:ascii="Arial" w:hAnsi="Arial" w:cs="Arial"/>
          <w:bCs/>
          <w:sz w:val="22"/>
          <w:szCs w:val="22"/>
        </w:rPr>
        <w:t xml:space="preserve"> </w:t>
      </w:r>
      <w:r w:rsidR="0033409B" w:rsidRPr="00AA6F71">
        <w:rPr>
          <w:rFonts w:ascii="Arial" w:hAnsi="Arial" w:cs="Arial"/>
          <w:bCs/>
          <w:i/>
          <w:iCs/>
          <w:sz w:val="22"/>
          <w:szCs w:val="22"/>
        </w:rPr>
        <w:t xml:space="preserve">Queensland Home Warranty Scheme Review </w:t>
      </w:r>
      <w:r w:rsidR="0033409B" w:rsidRPr="00AA6F71">
        <w:rPr>
          <w:rFonts w:ascii="Arial" w:hAnsi="Arial" w:cs="Arial"/>
          <w:bCs/>
          <w:sz w:val="22"/>
          <w:szCs w:val="22"/>
        </w:rPr>
        <w:t xml:space="preserve">for </w:t>
      </w:r>
      <w:r w:rsidR="00C820AD" w:rsidRPr="00AA6F71">
        <w:rPr>
          <w:rFonts w:ascii="Arial" w:hAnsi="Arial" w:cs="Arial"/>
          <w:bCs/>
          <w:sz w:val="22"/>
          <w:szCs w:val="22"/>
        </w:rPr>
        <w:t xml:space="preserve">consumer and industry consultation. </w:t>
      </w:r>
    </w:p>
    <w:p w14:paraId="0793A21F" w14:textId="15D6E530" w:rsidR="002F1EB1" w:rsidRPr="00AA6F71" w:rsidRDefault="002F1EB1" w:rsidP="00AA6F7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A6F71">
        <w:rPr>
          <w:rFonts w:ascii="Arial" w:hAnsi="Arial" w:cs="Arial"/>
          <w:bCs/>
          <w:i/>
          <w:iCs/>
          <w:sz w:val="22"/>
          <w:szCs w:val="22"/>
          <w:u w:val="single"/>
        </w:rPr>
        <w:t>Attachment</w:t>
      </w:r>
      <w:r w:rsidR="00966F4D" w:rsidRPr="00AA6F71">
        <w:rPr>
          <w:rFonts w:ascii="Arial" w:hAnsi="Arial" w:cs="Arial"/>
          <w:bCs/>
          <w:i/>
          <w:iCs/>
          <w:sz w:val="22"/>
          <w:szCs w:val="22"/>
          <w:u w:val="single"/>
        </w:rPr>
        <w:t>s</w:t>
      </w:r>
      <w:r w:rsidR="00966F4D" w:rsidRPr="00AA6F71">
        <w:rPr>
          <w:rFonts w:ascii="Arial" w:hAnsi="Arial" w:cs="Arial"/>
          <w:bCs/>
          <w:sz w:val="22"/>
          <w:szCs w:val="22"/>
        </w:rPr>
        <w:t>:</w:t>
      </w:r>
    </w:p>
    <w:p w14:paraId="3A915C42" w14:textId="15001B88" w:rsidR="002F1EB1" w:rsidRPr="00AA6F71" w:rsidRDefault="001808F6" w:rsidP="00AA6F71">
      <w:pPr>
        <w:numPr>
          <w:ilvl w:val="1"/>
          <w:numId w:val="1"/>
        </w:numPr>
        <w:tabs>
          <w:tab w:val="clear" w:pos="1443"/>
        </w:tabs>
        <w:spacing w:before="120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AD0159" w:rsidRPr="003A61C2">
          <w:rPr>
            <w:rStyle w:val="Hyperlink"/>
            <w:rFonts w:ascii="Arial" w:hAnsi="Arial" w:cs="Arial"/>
            <w:bCs/>
            <w:sz w:val="22"/>
            <w:szCs w:val="22"/>
          </w:rPr>
          <w:t xml:space="preserve">Queensland Home Warranty Scheme Review </w:t>
        </w:r>
        <w:r w:rsidR="00966F4D" w:rsidRPr="003A61C2">
          <w:rPr>
            <w:rStyle w:val="Hyperlink"/>
            <w:rFonts w:ascii="Arial" w:hAnsi="Arial" w:cs="Arial"/>
            <w:bCs/>
            <w:sz w:val="22"/>
            <w:szCs w:val="22"/>
          </w:rPr>
          <w:t>Discussion paper</w:t>
        </w:r>
      </w:hyperlink>
    </w:p>
    <w:sectPr w:rsidR="002F1EB1" w:rsidRPr="00AA6F71" w:rsidSect="00966F4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0EA0" w14:textId="77777777" w:rsidR="00183E62" w:rsidRDefault="00183E62" w:rsidP="00D6589B">
      <w:r>
        <w:separator/>
      </w:r>
    </w:p>
  </w:endnote>
  <w:endnote w:type="continuationSeparator" w:id="0">
    <w:p w14:paraId="4931BC8F" w14:textId="77777777" w:rsidR="00183E62" w:rsidRDefault="00183E62" w:rsidP="00D6589B">
      <w:r>
        <w:continuationSeparator/>
      </w:r>
    </w:p>
  </w:endnote>
  <w:endnote w:type="continuationNotice" w:id="1">
    <w:p w14:paraId="0400FB87" w14:textId="77777777" w:rsidR="00183E62" w:rsidRDefault="0018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0442" w14:textId="77777777" w:rsidR="00183E62" w:rsidRDefault="00183E62" w:rsidP="00D6589B">
      <w:r>
        <w:separator/>
      </w:r>
    </w:p>
  </w:footnote>
  <w:footnote w:type="continuationSeparator" w:id="0">
    <w:p w14:paraId="4C800157" w14:textId="77777777" w:rsidR="00183E62" w:rsidRDefault="00183E62" w:rsidP="00D6589B">
      <w:r>
        <w:continuationSeparator/>
      </w:r>
    </w:p>
  </w:footnote>
  <w:footnote w:type="continuationNotice" w:id="1">
    <w:p w14:paraId="1A9D90CA" w14:textId="77777777" w:rsidR="00183E62" w:rsidRDefault="00183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776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2A5963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5818A9C" w14:textId="398E1390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0F1729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15715">
      <w:rPr>
        <w:rFonts w:ascii="Arial" w:hAnsi="Arial" w:cs="Arial"/>
        <w:b/>
        <w:color w:val="auto"/>
        <w:sz w:val="22"/>
        <w:szCs w:val="22"/>
        <w:lang w:eastAsia="en-US"/>
      </w:rPr>
      <w:t xml:space="preserve">February </w:t>
    </w:r>
    <w:r w:rsidR="00FD7520">
      <w:rPr>
        <w:rFonts w:ascii="Arial" w:hAnsi="Arial" w:cs="Arial"/>
        <w:b/>
        <w:color w:val="auto"/>
        <w:sz w:val="22"/>
        <w:szCs w:val="22"/>
        <w:lang w:eastAsia="en-US"/>
      </w:rPr>
      <w:t>202</w:t>
    </w:r>
    <w:r w:rsidR="0061790A">
      <w:rPr>
        <w:rFonts w:ascii="Arial" w:hAnsi="Arial" w:cs="Arial"/>
        <w:b/>
        <w:color w:val="auto"/>
        <w:sz w:val="22"/>
        <w:szCs w:val="22"/>
        <w:lang w:eastAsia="en-US"/>
      </w:rPr>
      <w:t>2</w:t>
    </w:r>
  </w:p>
  <w:p w14:paraId="15AF6475" w14:textId="45202516" w:rsidR="00CB1501" w:rsidRPr="00AA6F71" w:rsidRDefault="004E59E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A6F71">
      <w:rPr>
        <w:rFonts w:ascii="Arial" w:hAnsi="Arial" w:cs="Arial"/>
        <w:b/>
        <w:sz w:val="22"/>
        <w:szCs w:val="22"/>
        <w:u w:val="single"/>
      </w:rPr>
      <w:t xml:space="preserve">Improving consumer protections during home construction: Queensland Home Warranty Scheme Review </w:t>
    </w:r>
  </w:p>
  <w:p w14:paraId="04AD918F" w14:textId="01B4C629" w:rsidR="00CB1501" w:rsidRPr="00AA6F7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A6F71">
      <w:rPr>
        <w:rFonts w:ascii="Arial" w:hAnsi="Arial" w:cs="Arial"/>
        <w:b/>
        <w:sz w:val="22"/>
        <w:szCs w:val="22"/>
        <w:u w:val="single"/>
      </w:rPr>
      <w:t>Minister</w:t>
    </w:r>
    <w:r w:rsidR="00FD7520" w:rsidRPr="00AA6F71">
      <w:rPr>
        <w:rFonts w:ascii="Arial" w:hAnsi="Arial" w:cs="Arial"/>
        <w:b/>
        <w:sz w:val="22"/>
        <w:szCs w:val="22"/>
        <w:u w:val="single"/>
      </w:rPr>
      <w:t xml:space="preserve"> for Energy, Renewables and Hydrogen and Minister for Public Works and Procurement</w:t>
    </w:r>
  </w:p>
  <w:p w14:paraId="11B5BF2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703A3"/>
    <w:multiLevelType w:val="hybridMultilevel"/>
    <w:tmpl w:val="66B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34D651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2580453">
    <w:abstractNumId w:val="2"/>
  </w:num>
  <w:num w:numId="2" w16cid:durableId="1690256297">
    <w:abstractNumId w:val="1"/>
  </w:num>
  <w:num w:numId="3" w16cid:durableId="145752660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98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BE"/>
    <w:rsid w:val="00080F8F"/>
    <w:rsid w:val="000F1729"/>
    <w:rsid w:val="0010384C"/>
    <w:rsid w:val="00152095"/>
    <w:rsid w:val="001524EC"/>
    <w:rsid w:val="00154B70"/>
    <w:rsid w:val="00157D9C"/>
    <w:rsid w:val="00174117"/>
    <w:rsid w:val="001808F6"/>
    <w:rsid w:val="00183E62"/>
    <w:rsid w:val="001A2D6B"/>
    <w:rsid w:val="001A3289"/>
    <w:rsid w:val="001A475A"/>
    <w:rsid w:val="001F6662"/>
    <w:rsid w:val="00226942"/>
    <w:rsid w:val="00243015"/>
    <w:rsid w:val="00284B4F"/>
    <w:rsid w:val="002B0BDD"/>
    <w:rsid w:val="002F1EB1"/>
    <w:rsid w:val="002F77B3"/>
    <w:rsid w:val="003003BC"/>
    <w:rsid w:val="0033409B"/>
    <w:rsid w:val="003707EE"/>
    <w:rsid w:val="00392E90"/>
    <w:rsid w:val="003A3BDD"/>
    <w:rsid w:val="003A61C2"/>
    <w:rsid w:val="003E00F7"/>
    <w:rsid w:val="00410854"/>
    <w:rsid w:val="00417AF5"/>
    <w:rsid w:val="0043543B"/>
    <w:rsid w:val="0044105E"/>
    <w:rsid w:val="004E59E5"/>
    <w:rsid w:val="00501C66"/>
    <w:rsid w:val="005148EB"/>
    <w:rsid w:val="00517F9B"/>
    <w:rsid w:val="00550873"/>
    <w:rsid w:val="005669BF"/>
    <w:rsid w:val="005702D1"/>
    <w:rsid w:val="005C783E"/>
    <w:rsid w:val="006022C6"/>
    <w:rsid w:val="0061790A"/>
    <w:rsid w:val="006F2265"/>
    <w:rsid w:val="00721D36"/>
    <w:rsid w:val="007265D0"/>
    <w:rsid w:val="00732E22"/>
    <w:rsid w:val="00741C20"/>
    <w:rsid w:val="007916A0"/>
    <w:rsid w:val="007F44F4"/>
    <w:rsid w:val="008664F7"/>
    <w:rsid w:val="00882AF0"/>
    <w:rsid w:val="008D78BE"/>
    <w:rsid w:val="00904077"/>
    <w:rsid w:val="00920CBE"/>
    <w:rsid w:val="00931BAA"/>
    <w:rsid w:val="00937A4A"/>
    <w:rsid w:val="00940466"/>
    <w:rsid w:val="00966F4D"/>
    <w:rsid w:val="009A07F2"/>
    <w:rsid w:val="009D7663"/>
    <w:rsid w:val="00A5612D"/>
    <w:rsid w:val="00A6637A"/>
    <w:rsid w:val="00AA6F71"/>
    <w:rsid w:val="00AD0159"/>
    <w:rsid w:val="00AE4229"/>
    <w:rsid w:val="00B00127"/>
    <w:rsid w:val="00B10FE5"/>
    <w:rsid w:val="00B53B2D"/>
    <w:rsid w:val="00B64847"/>
    <w:rsid w:val="00B64A0E"/>
    <w:rsid w:val="00B95A06"/>
    <w:rsid w:val="00BB6CF1"/>
    <w:rsid w:val="00BE17A0"/>
    <w:rsid w:val="00BF32E8"/>
    <w:rsid w:val="00C238E7"/>
    <w:rsid w:val="00C25589"/>
    <w:rsid w:val="00C75E67"/>
    <w:rsid w:val="00C820AD"/>
    <w:rsid w:val="00C83975"/>
    <w:rsid w:val="00CB1501"/>
    <w:rsid w:val="00CC4749"/>
    <w:rsid w:val="00CD7A50"/>
    <w:rsid w:val="00CE0D2D"/>
    <w:rsid w:val="00CE14C9"/>
    <w:rsid w:val="00CF0D8A"/>
    <w:rsid w:val="00D04D4F"/>
    <w:rsid w:val="00D15715"/>
    <w:rsid w:val="00D25430"/>
    <w:rsid w:val="00D30386"/>
    <w:rsid w:val="00D6589B"/>
    <w:rsid w:val="00DF038C"/>
    <w:rsid w:val="00E70186"/>
    <w:rsid w:val="00EB6A2B"/>
    <w:rsid w:val="00F04943"/>
    <w:rsid w:val="00F24A8A"/>
    <w:rsid w:val="00F45B99"/>
    <w:rsid w:val="00F60E3A"/>
    <w:rsid w:val="00F7588F"/>
    <w:rsid w:val="00F94D48"/>
    <w:rsid w:val="00FA7814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1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9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9E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E5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aliases w:val="1 heading,Bullet point,Bulletr List Paragraph,FooterText,L,List Paragraph1,List Paragraph11,List Paragraph2,List Paragraph21,Listeafsnit1,NFP GP Bulleted List,Paragraphe de liste1,Parágrafo da Lista1,Recommendation,bullet point list,列出段落"/>
    <w:basedOn w:val="Normal"/>
    <w:link w:val="ListParagraphChar"/>
    <w:uiPriority w:val="34"/>
    <w:qFormat/>
    <w:rsid w:val="00FA7814"/>
    <w:pPr>
      <w:ind w:left="720"/>
      <w:contextualSpacing/>
    </w:pPr>
  </w:style>
  <w:style w:type="character" w:customStyle="1" w:styleId="ListParagraphChar">
    <w:name w:val="List Paragraph Char"/>
    <w:aliases w:val="1 heading Char,Bullet point Char,Bulletr List Paragraph Char,FooterText Char,L Char,List Paragraph1 Char,List Paragraph11 Char,List Paragraph2 Char,List Paragraph21 Char,Listeafsnit1 Char,NFP GP Bulleted List Char,Recommendation Char"/>
    <w:link w:val="ListParagraph"/>
    <w:uiPriority w:val="34"/>
    <w:locked/>
    <w:rsid w:val="00157D9C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00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12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66F4D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C119AFD5-1578-46F2-A6D3-C56D4A71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15</TotalTime>
  <Pages>1</Pages>
  <Words>172</Words>
  <Characters>1056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Company/>
  <LinksUpToDate>false</LinksUpToDate>
  <CharactersWithSpaces>1225</CharactersWithSpaces>
  <SharedDoc>false</SharedDoc>
  <HyperlinkBase>https://www.cabinet.qld.gov.au/documents/2022/Feb/QHWSReview/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2021-11-26T07:45:00Z</cp:lastPrinted>
  <dcterms:created xsi:type="dcterms:W3CDTF">2022-02-18T03:53:00Z</dcterms:created>
  <dcterms:modified xsi:type="dcterms:W3CDTF">2022-09-16T00:17:00Z</dcterms:modified>
  <cp:category>Building_and_Construction,Consumer_Protection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TaxKeyword">
    <vt:lpwstr>1003;#proactive release|998d06d2-17fe-4953-b3f4-b7bb426c592b;#66;#Cabinet|3081b15d-12dd-410e-ae31-cdabd59c98d6</vt:lpwstr>
  </property>
  <property fmtid="{D5CDD505-2E9C-101B-9397-08002B2CF9AE}" pid="5" name="Order">
    <vt:r8>115900</vt:r8>
  </property>
  <property fmtid="{D5CDD505-2E9C-101B-9397-08002B2CF9AE}" pid="6" name="Number">
    <vt:lpwstr/>
  </property>
  <property fmtid="{D5CDD505-2E9C-101B-9397-08002B2CF9AE}" pid="7" name="Status">
    <vt:lpwstr/>
  </property>
  <property fmtid="{D5CDD505-2E9C-101B-9397-08002B2CF9AE}" pid="8" name="MediaServiceImageTags">
    <vt:lpwstr/>
  </property>
  <property fmtid="{D5CDD505-2E9C-101B-9397-08002B2CF9AE}" pid="9" name="MSIP_Label_282828d4-d65e-4c38-b4f3-1feba3142871_Enabled">
    <vt:lpwstr>true</vt:lpwstr>
  </property>
  <property fmtid="{D5CDD505-2E9C-101B-9397-08002B2CF9AE}" pid="10" name="MSIP_Label_282828d4-d65e-4c38-b4f3-1feba3142871_SetDate">
    <vt:lpwstr>2022-09-16T00:17:36Z</vt:lpwstr>
  </property>
  <property fmtid="{D5CDD505-2E9C-101B-9397-08002B2CF9AE}" pid="11" name="MSIP_Label_282828d4-d65e-4c38-b4f3-1feba3142871_Method">
    <vt:lpwstr>Standard</vt:lpwstr>
  </property>
  <property fmtid="{D5CDD505-2E9C-101B-9397-08002B2CF9AE}" pid="12" name="MSIP_Label_282828d4-d65e-4c38-b4f3-1feba3142871_Name">
    <vt:lpwstr>OFFICIAL</vt:lpwstr>
  </property>
  <property fmtid="{D5CDD505-2E9C-101B-9397-08002B2CF9AE}" pid="13" name="MSIP_Label_282828d4-d65e-4c38-b4f3-1feba3142871_SiteId">
    <vt:lpwstr>51778d2a-a6ab-4c76-97dc-782782d65046</vt:lpwstr>
  </property>
  <property fmtid="{D5CDD505-2E9C-101B-9397-08002B2CF9AE}" pid="14" name="MSIP_Label_282828d4-d65e-4c38-b4f3-1feba3142871_ActionId">
    <vt:lpwstr>eb961e6b-2e0a-49ab-83b9-e9ac0b66abc1</vt:lpwstr>
  </property>
  <property fmtid="{D5CDD505-2E9C-101B-9397-08002B2CF9AE}" pid="15" name="MSIP_Label_282828d4-d65e-4c38-b4f3-1feba3142871_ContentBits">
    <vt:lpwstr>0</vt:lpwstr>
  </property>
</Properties>
</file>